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FD62F1" w:rsidRDefault="005526EC" w:rsidP="00FD6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Инвестиционное предложение </w:t>
      </w:r>
    </w:p>
    <w:p w:rsidR="00FD62F1" w:rsidRDefault="00FD62F1" w:rsidP="00FD62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СТРОИТЕЛЬСТВО РЫБОВОДЧЕСКОГО КОМПЛЕКСА</w:t>
      </w:r>
      <w:r>
        <w:rPr>
          <w:b/>
          <w:bCs/>
          <w:sz w:val="28"/>
          <w:szCs w:val="28"/>
        </w:rPr>
        <w:t xml:space="preserve"> </w:t>
      </w:r>
    </w:p>
    <w:p w:rsidR="00FD62F1" w:rsidRDefault="00FD62F1" w:rsidP="00FD62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ВЫРАЩИВАНИЮ РАДУЖНОЙ ФОРЕЛИ В УСТАНОВКЕ ЗАМКНУТОГО ЦИКЛА ВОДОСНАБЖЕНИЯ»</w:t>
      </w: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Pr="005C41B9" w:rsidRDefault="00815FA9" w:rsidP="00541A2A">
      <w:r>
        <w:t xml:space="preserve">                                                        </w:t>
      </w:r>
      <w:r w:rsidR="005526EC" w:rsidRPr="005C41B9">
        <w:t>(наименование проекта)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2786"/>
        <w:gridCol w:w="5954"/>
      </w:tblGrid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473B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D14EDD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473B7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818BD">
              <w:rPr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63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Наименование проекта</w:t>
            </w:r>
          </w:p>
          <w:p w:rsidR="00FD62F1" w:rsidRDefault="00FD62F1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рыбоводческого комплекса по выращиванию радужной форели в установках замкнутого цикла водоснабжения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Сведения о публичном партнере/</w:t>
            </w:r>
            <w:proofErr w:type="spellStart"/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концеденте</w:t>
            </w:r>
            <w:proofErr w:type="spellEnd"/>
          </w:p>
          <w:p w:rsidR="002D4A0A" w:rsidRPr="00CD647C" w:rsidRDefault="00935F81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7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Терновского муниципального района</w:t>
            </w:r>
            <w:r w:rsidR="00394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48E5" w:rsidRPr="003948E5">
              <w:rPr>
                <w:rFonts w:ascii="Times New Roman" w:hAnsi="Times New Roman" w:cs="Times New Roman"/>
                <w:b/>
                <w:sz w:val="24"/>
                <w:szCs w:val="24"/>
              </w:rPr>
              <w:t>Воронежской области</w:t>
            </w:r>
          </w:p>
          <w:p w:rsidR="00FD62F1" w:rsidRDefault="005526EC" w:rsidP="00FD62F1">
            <w:pPr>
              <w:pStyle w:val="a3"/>
              <w:jc w:val="both"/>
            </w:pPr>
            <w:r w:rsidRPr="003B3DF4">
              <w:t>3. Обоснование актуальности проекта.</w:t>
            </w:r>
            <w:r w:rsidR="00080C57" w:rsidRPr="003B3DF4">
              <w:t xml:space="preserve"> </w:t>
            </w:r>
          </w:p>
          <w:p w:rsidR="00FD62F1" w:rsidRPr="00FD62F1" w:rsidRDefault="00FD62F1" w:rsidP="00FD62F1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FD62F1">
              <w:rPr>
                <w:b/>
                <w:sz w:val="24"/>
                <w:szCs w:val="24"/>
              </w:rPr>
              <w:t xml:space="preserve">Широкий рынок сбыта, наличие большого числа потенциальных потребителей, низкий уровень производства рыбы свидетельствуют об актуальности строительства строительство рыбоводческого комплекса на территории </w:t>
            </w:r>
            <w:r w:rsidR="003F4874">
              <w:rPr>
                <w:b/>
                <w:sz w:val="24"/>
                <w:szCs w:val="24"/>
              </w:rPr>
              <w:t xml:space="preserve">Терновского района </w:t>
            </w:r>
            <w:r w:rsidRPr="00FD62F1">
              <w:rPr>
                <w:b/>
                <w:sz w:val="24"/>
                <w:szCs w:val="24"/>
              </w:rPr>
              <w:t xml:space="preserve">Воронежской области. Кроме того, реализация данного инвестиционного предложения будет способствовать </w:t>
            </w:r>
            <w:proofErr w:type="spellStart"/>
            <w:r w:rsidRPr="00FD62F1">
              <w:rPr>
                <w:b/>
                <w:sz w:val="24"/>
                <w:szCs w:val="24"/>
              </w:rPr>
              <w:t>имп</w:t>
            </w:r>
            <w:r w:rsidR="003F4874">
              <w:rPr>
                <w:b/>
                <w:sz w:val="24"/>
                <w:szCs w:val="24"/>
              </w:rPr>
              <w:t>ортозамещению</w:t>
            </w:r>
            <w:proofErr w:type="spellEnd"/>
            <w:r w:rsidR="003F4874">
              <w:rPr>
                <w:b/>
                <w:sz w:val="24"/>
                <w:szCs w:val="24"/>
              </w:rPr>
              <w:t xml:space="preserve"> рыбной продукции, созданию новых рабочих мест  в районе.</w:t>
            </w:r>
          </w:p>
          <w:p w:rsidR="009423D0" w:rsidRPr="003B3DF4" w:rsidRDefault="005526EC" w:rsidP="00423D1F">
            <w:pPr>
              <w:pStyle w:val="4"/>
              <w:shd w:val="clear" w:color="auto" w:fill="auto"/>
              <w:spacing w:before="0"/>
            </w:pPr>
            <w:r w:rsidRPr="003B3DF4">
              <w:rPr>
                <w:sz w:val="28"/>
                <w:szCs w:val="28"/>
              </w:rPr>
              <w:t>4. Краткое описание проекта.</w:t>
            </w:r>
            <w:r w:rsidR="009423D0" w:rsidRPr="003B3DF4">
              <w:t xml:space="preserve"> </w:t>
            </w:r>
          </w:p>
          <w:p w:rsidR="00FD62F1" w:rsidRPr="00FD62F1" w:rsidRDefault="00FD62F1" w:rsidP="00FD62F1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FD62F1">
              <w:rPr>
                <w:b/>
                <w:sz w:val="24"/>
                <w:szCs w:val="24"/>
              </w:rPr>
              <w:t xml:space="preserve">Данное инвестиционное предложение предусматривает выращивание радужной форели в установках замкнутого водоснабжения (далее – УЗВ), под которыми понимается технология, позволяющая выращивать рыбу в закрытом помещении круглый год </w:t>
            </w:r>
            <w:proofErr w:type="gramStart"/>
            <w:r w:rsidRPr="00FD62F1">
              <w:rPr>
                <w:b/>
                <w:sz w:val="24"/>
                <w:szCs w:val="24"/>
              </w:rPr>
              <w:t>без</w:t>
            </w:r>
            <w:proofErr w:type="gramEnd"/>
            <w:r w:rsidRPr="00FD62F1">
              <w:rPr>
                <w:b/>
                <w:sz w:val="24"/>
                <w:szCs w:val="24"/>
              </w:rPr>
              <w:t xml:space="preserve"> риск, связанных с открытыми водоемами. Поставка продукции, при применения такой технологии, происходит регулярно и круглый год, что </w:t>
            </w:r>
            <w:proofErr w:type="gramStart"/>
            <w:r w:rsidRPr="00FD62F1">
              <w:rPr>
                <w:b/>
                <w:sz w:val="24"/>
                <w:szCs w:val="24"/>
              </w:rPr>
              <w:t>является</w:t>
            </w:r>
            <w:proofErr w:type="gramEnd"/>
            <w:r w:rsidRPr="00FD62F1">
              <w:rPr>
                <w:b/>
                <w:sz w:val="24"/>
                <w:szCs w:val="24"/>
              </w:rPr>
              <w:t xml:space="preserve"> востребовано при реализации продукции торговым сетям и оптовикам. </w:t>
            </w:r>
          </w:p>
          <w:p w:rsidR="00FD62F1" w:rsidRPr="00FD62F1" w:rsidRDefault="00FD62F1" w:rsidP="00FD62F1">
            <w:pPr>
              <w:pStyle w:val="a3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62F1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Проектом предусмотрено выращивание 300 тонн рыбы и ее последующая переработка и продажа. </w:t>
            </w:r>
          </w:p>
          <w:p w:rsidR="00761878" w:rsidRPr="003B3DF4" w:rsidRDefault="00761878" w:rsidP="00761878">
            <w:pPr>
              <w:pStyle w:val="Default"/>
              <w:rPr>
                <w:sz w:val="16"/>
                <w:szCs w:val="16"/>
              </w:rPr>
            </w:pP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5. Финансирование создания объекта.</w:t>
            </w:r>
          </w:p>
          <w:p w:rsidR="00DE6614" w:rsidRPr="00854A12" w:rsidRDefault="00DE6614" w:rsidP="00854A12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854A12">
              <w:rPr>
                <w:b/>
                <w:sz w:val="24"/>
                <w:szCs w:val="24"/>
              </w:rPr>
              <w:t>Источниками финансирования выступают собственные и заемные средства компании.</w:t>
            </w:r>
          </w:p>
          <w:p w:rsidR="00FD62F1" w:rsidRPr="00FD62F1" w:rsidRDefault="00FD62F1" w:rsidP="00FD62F1">
            <w:pPr>
              <w:pStyle w:val="a3"/>
              <w:jc w:val="left"/>
              <w:rPr>
                <w:b/>
                <w:sz w:val="24"/>
                <w:szCs w:val="24"/>
                <w:highlight w:val="white"/>
                <w:shd w:val="clear" w:color="auto" w:fill="FFFF00"/>
              </w:rPr>
            </w:pPr>
            <w:bookmarkStart w:id="0" w:name="_Hlk57107889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Общий объем финансирования проекта составит 921,89 </w:t>
            </w:r>
            <w:proofErr w:type="gramStart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млн</w:t>
            </w:r>
            <w:proofErr w:type="gramEnd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 рублей</w:t>
            </w:r>
            <w:bookmarkEnd w:id="0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, </w:t>
            </w:r>
            <w:r w:rsidRPr="00FD62F1">
              <w:rPr>
                <w:b/>
                <w:sz w:val="24"/>
                <w:szCs w:val="24"/>
                <w:highlight w:val="white"/>
                <w:shd w:val="clear" w:color="auto" w:fill="FFFFFF"/>
              </w:rPr>
              <w:t xml:space="preserve">в </w:t>
            </w: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том числе:</w:t>
            </w:r>
          </w:p>
          <w:p w:rsidR="00FD62F1" w:rsidRPr="00FD62F1" w:rsidRDefault="00FD62F1" w:rsidP="00FD62F1">
            <w:pPr>
              <w:pStyle w:val="a3"/>
              <w:jc w:val="left"/>
              <w:rPr>
                <w:b/>
                <w:sz w:val="24"/>
                <w:szCs w:val="24"/>
                <w:highlight w:val="white"/>
                <w:shd w:val="clear" w:color="auto" w:fill="FFFF00"/>
              </w:rPr>
            </w:pP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1)</w:t>
            </w: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ab/>
              <w:t xml:space="preserve">строительно-монтажные работы – 616,54 </w:t>
            </w:r>
            <w:proofErr w:type="gramStart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млн</w:t>
            </w:r>
            <w:proofErr w:type="gramEnd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 рублей;</w:t>
            </w:r>
          </w:p>
          <w:p w:rsidR="00FD62F1" w:rsidRPr="00FD62F1" w:rsidRDefault="00FD62F1" w:rsidP="00FD62F1">
            <w:pPr>
              <w:pStyle w:val="a3"/>
              <w:jc w:val="left"/>
              <w:rPr>
                <w:b/>
                <w:sz w:val="24"/>
                <w:szCs w:val="24"/>
                <w:highlight w:val="white"/>
                <w:shd w:val="clear" w:color="auto" w:fill="FFFF00"/>
              </w:rPr>
            </w:pP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2)</w:t>
            </w: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ab/>
              <w:t xml:space="preserve">оборудование – 218,51 </w:t>
            </w:r>
            <w:proofErr w:type="gramStart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млн</w:t>
            </w:r>
            <w:proofErr w:type="gramEnd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 рублей;</w:t>
            </w:r>
          </w:p>
          <w:p w:rsidR="00FD62F1" w:rsidRPr="00FD62F1" w:rsidRDefault="00FD62F1" w:rsidP="00FD62F1">
            <w:pPr>
              <w:pStyle w:val="a3"/>
              <w:jc w:val="left"/>
              <w:rPr>
                <w:b/>
                <w:sz w:val="24"/>
                <w:szCs w:val="24"/>
                <w:highlight w:val="white"/>
                <w:shd w:val="clear" w:color="auto" w:fill="FFFF00"/>
              </w:rPr>
            </w:pP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lastRenderedPageBreak/>
              <w:t xml:space="preserve">3) мебель – 10,0 </w:t>
            </w:r>
            <w:proofErr w:type="gramStart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млн</w:t>
            </w:r>
            <w:proofErr w:type="gramEnd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 рублей;</w:t>
            </w:r>
          </w:p>
          <w:p w:rsidR="00FD62F1" w:rsidRPr="00FD62F1" w:rsidRDefault="00FD62F1" w:rsidP="00FD62F1">
            <w:pPr>
              <w:pStyle w:val="a3"/>
              <w:jc w:val="left"/>
              <w:rPr>
                <w:b/>
                <w:sz w:val="24"/>
                <w:szCs w:val="24"/>
                <w:highlight w:val="white"/>
                <w:shd w:val="clear" w:color="auto" w:fill="FFFF00"/>
              </w:rPr>
            </w:pP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4) оборотные средства – 56,84 </w:t>
            </w:r>
            <w:proofErr w:type="gramStart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млн</w:t>
            </w:r>
            <w:proofErr w:type="gramEnd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 рублей.</w:t>
            </w:r>
          </w:p>
          <w:p w:rsidR="00FD62F1" w:rsidRDefault="00FD62F1" w:rsidP="00FD62F1">
            <w:pPr>
              <w:pStyle w:val="a3"/>
              <w:jc w:val="left"/>
              <w:rPr>
                <w:shd w:val="clear" w:color="auto" w:fill="FFFF00"/>
              </w:rPr>
            </w:pPr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5) прочие – 20 </w:t>
            </w:r>
            <w:proofErr w:type="gramStart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>млн</w:t>
            </w:r>
            <w:proofErr w:type="gramEnd"/>
            <w:r w:rsidRPr="00FD62F1">
              <w:rPr>
                <w:b/>
                <w:sz w:val="24"/>
                <w:szCs w:val="24"/>
                <w:highlight w:val="white"/>
                <w:shd w:val="clear" w:color="auto" w:fill="FFFF00"/>
              </w:rPr>
              <w:t xml:space="preserve"> рублей</w:t>
            </w:r>
            <w:r>
              <w:rPr>
                <w:highlight w:val="white"/>
                <w:shd w:val="clear" w:color="auto" w:fill="FFFF00"/>
              </w:rPr>
              <w:t>.</w:t>
            </w:r>
          </w:p>
          <w:p w:rsidR="005526EC" w:rsidRPr="003B3DF4" w:rsidRDefault="005526EC" w:rsidP="00FD62F1">
            <w:pPr>
              <w:pStyle w:val="a3"/>
              <w:jc w:val="left"/>
            </w:pPr>
            <w:r w:rsidRPr="003B3DF4">
              <w:t>6. Необходимость проектирования объекта частным партнером/концессионером.</w:t>
            </w:r>
          </w:p>
          <w:p w:rsidR="00854A12" w:rsidRDefault="00854A12" w:rsidP="00854A1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 изготовление  проектно- сметной документации</w:t>
            </w:r>
            <w:r w:rsidRPr="00984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7. 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854A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4A12" w:rsidRPr="00854A12">
              <w:rPr>
                <w:rFonts w:ascii="Times New Roman" w:hAnsi="Times New Roman" w:cs="Times New Roman"/>
                <w:b/>
                <w:sz w:val="28"/>
                <w:szCs w:val="28"/>
              </w:rPr>
              <w:t>100%</w:t>
            </w:r>
            <w:r w:rsidRPr="00854A1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8. Необходимость обеспечения публичным партнером/концедентом частичного финансирования  создания частным партнером/концессионером объекта, а также финансирование его эксплуатации и (</w:t>
            </w:r>
            <w:r w:rsidR="00854A12">
              <w:rPr>
                <w:rFonts w:ascii="Times New Roman" w:hAnsi="Times New Roman" w:cs="Times New Roman"/>
                <w:sz w:val="28"/>
                <w:szCs w:val="28"/>
              </w:rPr>
              <w:t xml:space="preserve">или) технического обслуживания- </w:t>
            </w:r>
          </w:p>
          <w:p w:rsidR="00935F81" w:rsidRPr="003B3DF4" w:rsidRDefault="00854A12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41BE4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земельного участка в аренду.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7E29BD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29BD">
              <w:rPr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Цели реализации проекта.</w:t>
            </w:r>
          </w:p>
          <w:p w:rsidR="00C046C0" w:rsidRPr="00C046C0" w:rsidRDefault="00C046C0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6C0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Поддержание  продовольственной безопасности Российской Федерации, сохранении водных биоресурсов и улучшении качества жизни населения</w:t>
            </w:r>
          </w:p>
          <w:p w:rsidR="005526EC" w:rsidRPr="003B3DF4" w:rsidRDefault="00C046C0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6EC" w:rsidRPr="003B3DF4">
              <w:rPr>
                <w:rFonts w:ascii="Times New Roman" w:hAnsi="Times New Roman" w:cs="Times New Roman"/>
                <w:sz w:val="28"/>
                <w:szCs w:val="28"/>
              </w:rPr>
              <w:t>2. Задачи реализации проекта.</w:t>
            </w:r>
          </w:p>
          <w:p w:rsidR="00C046C0" w:rsidRPr="00C046C0" w:rsidRDefault="00C046C0" w:rsidP="00C046C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6C0">
              <w:rPr>
                <w:rFonts w:ascii="Times New Roman" w:hAnsi="Times New Roman" w:cs="Times New Roman"/>
                <w:b/>
                <w:sz w:val="24"/>
                <w:szCs w:val="24"/>
              </w:rPr>
              <w:t>- расширение производства и реализация конкурентоспособной рыбной продукции,</w:t>
            </w:r>
          </w:p>
          <w:p w:rsidR="00C046C0" w:rsidRPr="00C046C0" w:rsidRDefault="00C046C0" w:rsidP="00C046C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6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обеспечение интенсивного замещения импортной продукции на внутреннем рынке продукцией российского производства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046C0">
              <w:rPr>
                <w:rFonts w:ascii="Times New Roman" w:hAnsi="Times New Roman" w:cs="Times New Roman"/>
                <w:sz w:val="28"/>
                <w:szCs w:val="28"/>
              </w:rPr>
              <w:t>3. 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пунктов.</w:t>
            </w:r>
          </w:p>
          <w:p w:rsidR="00616991" w:rsidRPr="00854A12" w:rsidRDefault="00616991" w:rsidP="008139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СНД от  26  декабря  2018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 47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О стратегии социально-экономического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развития Терновского муниципального 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района Воронежской области на период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до 2035года</w:t>
            </w:r>
            <w:r w:rsidR="00813984" w:rsidRPr="00854A1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E138A" w:rsidRPr="003B3DF4" w:rsidRDefault="00DE138A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7E7128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128">
              <w:rPr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Вид объекта.</w:t>
            </w:r>
          </w:p>
          <w:p w:rsidR="00C046C0" w:rsidRDefault="00C046C0" w:rsidP="00C046C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рыбоводческого комплекса по выращиванию радужной форели в установках замкнутого цикла водоснабжения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Наименование собственника  объекта, предлагаемого к реконструкции.</w:t>
            </w:r>
          </w:p>
          <w:p w:rsidR="00A10320" w:rsidRPr="00CD647C" w:rsidRDefault="00A10320" w:rsidP="00A10320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47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Терновского муниципального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</w:t>
            </w:r>
            <w:r w:rsidR="001423AC">
              <w:rPr>
                <w:rFonts w:ascii="Times New Roman" w:hAnsi="Times New Roman" w:cs="Times New Roman"/>
                <w:b/>
                <w:sz w:val="24"/>
                <w:szCs w:val="24"/>
              </w:rPr>
              <w:t>оронежской области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3. Адрес (место нахождения) объекта, предлагаемого к созданию и (или) реконструкции. </w:t>
            </w:r>
          </w:p>
          <w:p w:rsidR="00C046C0" w:rsidRPr="00C046C0" w:rsidRDefault="002D4A0A" w:rsidP="00C046C0">
            <w:pPr>
              <w:pStyle w:val="a3"/>
              <w:jc w:val="both"/>
              <w:rPr>
                <w:b/>
                <w:color w:val="000000"/>
                <w:sz w:val="24"/>
                <w:szCs w:val="24"/>
              </w:rPr>
            </w:pPr>
            <w:r w:rsidRPr="00C046C0">
              <w:rPr>
                <w:b/>
                <w:sz w:val="24"/>
                <w:szCs w:val="24"/>
              </w:rPr>
              <w:lastRenderedPageBreak/>
              <w:t xml:space="preserve">Воронежская область Терновский район </w:t>
            </w:r>
            <w:r w:rsidR="00C046C0" w:rsidRPr="00C046C0">
              <w:rPr>
                <w:b/>
                <w:sz w:val="24"/>
                <w:szCs w:val="24"/>
              </w:rPr>
              <w:t xml:space="preserve">Терновское </w:t>
            </w:r>
            <w:r w:rsidR="001423AC" w:rsidRPr="00C046C0">
              <w:rPr>
                <w:b/>
                <w:sz w:val="24"/>
                <w:szCs w:val="24"/>
              </w:rPr>
              <w:t xml:space="preserve"> </w:t>
            </w:r>
            <w:r w:rsidRPr="00C046C0">
              <w:rPr>
                <w:b/>
                <w:sz w:val="24"/>
                <w:szCs w:val="24"/>
              </w:rPr>
              <w:t xml:space="preserve">  сельское поселение</w:t>
            </w:r>
            <w:r w:rsidR="003C1DE2" w:rsidRPr="00C046C0">
              <w:rPr>
                <w:b/>
                <w:sz w:val="24"/>
                <w:szCs w:val="24"/>
              </w:rPr>
              <w:t xml:space="preserve">. </w:t>
            </w:r>
            <w:r w:rsidR="00C046C0" w:rsidRPr="00C046C0">
              <w:rPr>
                <w:b/>
                <w:color w:val="000000"/>
                <w:sz w:val="24"/>
                <w:szCs w:val="24"/>
                <w:lang w:bidi="ru-RU"/>
              </w:rPr>
              <w:t>Площадь земельного участка — 12 га.</w:t>
            </w:r>
          </w:p>
          <w:p w:rsidR="00C046C0" w:rsidRDefault="00C046C0" w:rsidP="00C046C0">
            <w:pPr>
              <w:pStyle w:val="a3"/>
              <w:jc w:val="both"/>
              <w:rPr>
                <w:color w:val="000000"/>
              </w:rPr>
            </w:pPr>
            <w:r w:rsidRPr="00C046C0">
              <w:rPr>
                <w:b/>
                <w:color w:val="000000"/>
                <w:sz w:val="24"/>
                <w:szCs w:val="24"/>
                <w:lang w:bidi="ru-RU"/>
              </w:rPr>
              <w:t>Кадастровый номер – 36:30:4400017:201</w:t>
            </w:r>
            <w:r>
              <w:rPr>
                <w:color w:val="000000"/>
                <w:szCs w:val="28"/>
                <w:lang w:bidi="ru-RU"/>
              </w:rPr>
              <w:t>.</w:t>
            </w:r>
          </w:p>
          <w:p w:rsidR="005526EC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4. Перечень имущества, которое  планируется  создать.</w:t>
            </w:r>
          </w:p>
          <w:p w:rsidR="00C046C0" w:rsidRPr="00C046C0" w:rsidRDefault="00C046C0" w:rsidP="00C046C0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C046C0">
              <w:rPr>
                <w:b/>
                <w:bCs/>
                <w:sz w:val="24"/>
                <w:szCs w:val="24"/>
              </w:rPr>
              <w:t>Площадь необходимого земельного участка под инвестиционное предложение составляет 2-3 га, т</w:t>
            </w:r>
            <w:r w:rsidRPr="00C046C0">
              <w:rPr>
                <w:b/>
                <w:sz w:val="24"/>
                <w:szCs w:val="24"/>
              </w:rPr>
              <w:t>акже требуется наличие подъездных дорог, электроэнергии, воды (желательно скважины), возможность отведения сточных вод.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5. Наличие задания на проектирование объекта.</w:t>
            </w:r>
          </w:p>
          <w:p w:rsidR="002D4A0A" w:rsidRPr="001423AC" w:rsidRDefault="002D4A0A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6. Наличие проектной документации на объект.</w:t>
            </w:r>
          </w:p>
          <w:p w:rsidR="002D4A0A" w:rsidRPr="001423AC" w:rsidRDefault="002D4A0A" w:rsidP="002D4A0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7. Наименование собственника  проектной документации на объект (если имеется).</w:t>
            </w:r>
          </w:p>
          <w:p w:rsidR="002D4A0A" w:rsidRPr="001423AC" w:rsidRDefault="002D4A0A" w:rsidP="002D4A0A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Не имеется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8. Юридическое лицо, осуществлявшее разработку проектной документации на объект или задания на проектирование объекта (если имеется) </w:t>
            </w:r>
          </w:p>
          <w:p w:rsidR="002D4A0A" w:rsidRPr="003B3DF4" w:rsidRDefault="002D4A0A" w:rsidP="002D4A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600A">
              <w:rPr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Срок реализации соглашения.</w:t>
            </w:r>
          </w:p>
          <w:p w:rsidR="00217E32" w:rsidRPr="001423AC" w:rsidRDefault="001423AC" w:rsidP="00473B7F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10лет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Срок осуществления частным  партнером/концессионером проектирования объекта.</w:t>
            </w:r>
          </w:p>
          <w:p w:rsidR="00217E32" w:rsidRPr="001423AC" w:rsidRDefault="00217E32" w:rsidP="00473B7F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наличии  инвестора </w:t>
            </w:r>
            <w:r w:rsidR="00640DD4" w:rsidRPr="001423A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срок</w:t>
            </w:r>
            <w:r w:rsidR="005B44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3. Срок создания объекта частным партнером/концессионером.</w:t>
            </w:r>
          </w:p>
          <w:p w:rsidR="006C31DB" w:rsidRPr="00424B87" w:rsidRDefault="006C31DB" w:rsidP="006C31D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При наличии  инвестора определяется срок</w:t>
            </w:r>
            <w:r w:rsidR="005B44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4. Срок эксплуатации и (или) технического обслуживания объекта частным партнером/концессионером.</w:t>
            </w:r>
          </w:p>
          <w:p w:rsidR="006C31DB" w:rsidRPr="00424B87" w:rsidRDefault="00424B87" w:rsidP="006C31D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10 лет</w:t>
            </w:r>
          </w:p>
          <w:p w:rsidR="006C31DB" w:rsidRPr="003B3DF4" w:rsidRDefault="006C31DB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473B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775C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</w:t>
            </w:r>
            <w:r w:rsidRPr="00D5775C">
              <w:rPr>
                <w:sz w:val="28"/>
                <w:szCs w:val="28"/>
              </w:rPr>
              <w:t xml:space="preserve">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87" w:rsidRPr="0066141B" w:rsidRDefault="005526EC" w:rsidP="00424B87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proofErr w:type="gramStart"/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16CC1" w:rsidRPr="003B3DF4">
              <w:t xml:space="preserve"> </w:t>
            </w:r>
            <w:r w:rsidR="001D7720" w:rsidRPr="003B3DF4">
              <w:t>-</w:t>
            </w:r>
            <w:r w:rsidR="00316CC1" w:rsidRPr="003B3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24B8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асчет прилагается </w:t>
            </w:r>
          </w:p>
          <w:p w:rsidR="007B1A42" w:rsidRPr="0066141B" w:rsidRDefault="005526EC" w:rsidP="007B1A4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t>уг в рамках  реализации проект</w:t>
            </w:r>
            <w:proofErr w:type="gramStart"/>
            <w:r w:rsidR="005B4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 прилагается 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5526EC" w:rsidRPr="003B3DF4" w:rsidRDefault="005526EC" w:rsidP="00473B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потребителям товаров, работ,   услуг в рам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t>ках реализации  проект</w:t>
            </w:r>
            <w:proofErr w:type="gramStart"/>
            <w:r w:rsidR="005B4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B1A42">
              <w:rPr>
                <w:rFonts w:ascii="Times New Roman" w:hAnsi="Times New Roman" w:cs="Times New Roman"/>
                <w:b/>
                <w:sz w:val="24"/>
                <w:szCs w:val="24"/>
              </w:rPr>
              <w:t>расчет прилагается.</w:t>
            </w:r>
          </w:p>
          <w:p w:rsidR="006D481B" w:rsidRPr="003B3DF4" w:rsidRDefault="005526EC" w:rsidP="00424B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3DF4">
              <w:rPr>
                <w:rFonts w:ascii="Times New Roman" w:hAnsi="Times New Roman" w:cs="Times New Roman"/>
                <w:sz w:val="28"/>
                <w:szCs w:val="28"/>
              </w:rPr>
              <w:t>4. Планируемые налоговые доходы бюджетов бюджетной системы Российской Ф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t xml:space="preserve">едерации от </w:t>
            </w:r>
            <w:r w:rsidR="005B44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 проект</w:t>
            </w:r>
            <w:proofErr w:type="gramStart"/>
            <w:r w:rsidR="005B44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D7720" w:rsidRPr="003B3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20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6D481B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алоговые отчисления в региональный бюджет Воронежской области составят </w:t>
            </w:r>
            <w:r w:rsidR="00424B87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>132,93</w:t>
            </w:r>
            <w:r w:rsidR="006D481B" w:rsidRPr="00424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млн рублей за 10 лет реализации проекта.</w:t>
            </w:r>
          </w:p>
        </w:tc>
      </w:tr>
      <w:tr w:rsidR="005526EC" w:rsidRPr="00C75A34" w:rsidTr="00473B7F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EC476A" w:rsidRDefault="005526EC" w:rsidP="00473B7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C476A"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EC476A" w:rsidRDefault="005526EC" w:rsidP="00473B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476A">
              <w:rPr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FA9" w:rsidRDefault="003B3DF4" w:rsidP="003B3DF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526EC" w:rsidRPr="001D7720">
              <w:rPr>
                <w:rFonts w:ascii="Times New Roman" w:hAnsi="Times New Roman" w:cs="Times New Roman"/>
                <w:sz w:val="28"/>
                <w:szCs w:val="28"/>
              </w:rPr>
              <w:t>Общий прогнозируем</w:t>
            </w:r>
            <w:r w:rsidR="001D7720" w:rsidRPr="001D7720">
              <w:rPr>
                <w:rFonts w:ascii="Times New Roman" w:hAnsi="Times New Roman" w:cs="Times New Roman"/>
                <w:sz w:val="28"/>
                <w:szCs w:val="28"/>
              </w:rPr>
              <w:t xml:space="preserve">ый объем финансирования проекта </w:t>
            </w:r>
            <w:r w:rsidR="00815F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6C31DB" w:rsidRPr="005B4418" w:rsidRDefault="001D7720" w:rsidP="003B3DF4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4874">
              <w:rPr>
                <w:rFonts w:ascii="Times New Roman" w:hAnsi="Times New Roman" w:cs="Times New Roman"/>
                <w:b/>
                <w:sz w:val="24"/>
                <w:szCs w:val="24"/>
              </w:rPr>
              <w:t>922,0</w:t>
            </w:r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="006C31DB" w:rsidRPr="005B4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</w:p>
          <w:p w:rsidR="005B4418" w:rsidRPr="0066141B" w:rsidRDefault="005B4418" w:rsidP="005B4418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2. Прогнозируемый объем финансирова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создания объекта (по годам) – 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-</w:t>
            </w:r>
            <w:r w:rsidR="003F4874">
              <w:rPr>
                <w:rFonts w:ascii="Times New Roman" w:hAnsi="Times New Roman" w:cs="Times New Roman"/>
                <w:b/>
                <w:sz w:val="24"/>
                <w:szCs w:val="24"/>
              </w:rPr>
              <w:t>922,0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5B4418" w:rsidRPr="00D35194" w:rsidRDefault="005B4418" w:rsidP="005B4418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расчет прилагается.</w:t>
            </w:r>
          </w:p>
          <w:p w:rsidR="005B4418" w:rsidRPr="00B939EA" w:rsidRDefault="005B4418" w:rsidP="005B44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4. Объем финансирования проекта за счет собственных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заемных 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средств частного партнера/концессионера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69,6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млн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B4418" w:rsidRPr="0066141B" w:rsidRDefault="005B4418" w:rsidP="005B4418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5. Прогнозируемый объем финансирования за счет средств  бюджетов бюджетной системы  Российской Федерации создания частным партнером/концессионером объекта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.(по годам)</w:t>
            </w:r>
          </w:p>
          <w:p w:rsidR="005B4418" w:rsidRPr="002D7F29" w:rsidRDefault="005B4418" w:rsidP="005B44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 xml:space="preserve">6. Прогнозируемый объем  финансирования за счет средств  бюджетов бюджетной системы  </w:t>
            </w: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эксплуатации и (или) технического обслуживания объекта (по годам)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66141B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5FA9" w:rsidRPr="00EC476A" w:rsidRDefault="005B4418" w:rsidP="005B441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D7F29">
              <w:rPr>
                <w:rFonts w:ascii="Times New Roman" w:hAnsi="Times New Roman" w:cs="Times New Roman"/>
                <w:sz w:val="28"/>
                <w:szCs w:val="28"/>
              </w:rPr>
              <w:t xml:space="preserve">7. Сведения о финансовой эффективности проекта (Чистая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приведенная стоимость  проекта) </w:t>
            </w:r>
          </w:p>
        </w:tc>
      </w:tr>
    </w:tbl>
    <w:p w:rsidR="00A41959" w:rsidRDefault="00A41959" w:rsidP="003B3DF4">
      <w:pPr>
        <w:jc w:val="both"/>
      </w:pPr>
      <w:bookmarkStart w:id="1" w:name="_GoBack"/>
      <w:bookmarkEnd w:id="1"/>
    </w:p>
    <w:sectPr w:rsidR="00A41959" w:rsidSect="003B3DF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0F"/>
    <w:multiLevelType w:val="multilevel"/>
    <w:tmpl w:val="095212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8186D"/>
    <w:multiLevelType w:val="hybridMultilevel"/>
    <w:tmpl w:val="3400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11798"/>
    <w:multiLevelType w:val="multilevel"/>
    <w:tmpl w:val="A8900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3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873FAB"/>
    <w:multiLevelType w:val="hybridMultilevel"/>
    <w:tmpl w:val="647C7904"/>
    <w:lvl w:ilvl="0" w:tplc="0419000D">
      <w:start w:val="1"/>
      <w:numFmt w:val="bullet"/>
      <w:lvlText w:val="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B474B14"/>
    <w:multiLevelType w:val="hybridMultilevel"/>
    <w:tmpl w:val="FC5260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C10D61"/>
    <w:multiLevelType w:val="hybridMultilevel"/>
    <w:tmpl w:val="CE30C0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D7E61"/>
    <w:multiLevelType w:val="multilevel"/>
    <w:tmpl w:val="5170ABA0"/>
    <w:lvl w:ilvl="0">
      <w:start w:val="2"/>
      <w:numFmt w:val="decimal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994CD9"/>
    <w:multiLevelType w:val="hybridMultilevel"/>
    <w:tmpl w:val="B1721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80493"/>
    <w:multiLevelType w:val="hybridMultilevel"/>
    <w:tmpl w:val="60BC8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02CC4"/>
    <w:multiLevelType w:val="multilevel"/>
    <w:tmpl w:val="34A85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EC"/>
    <w:rsid w:val="00080C57"/>
    <w:rsid w:val="001423AC"/>
    <w:rsid w:val="001D7720"/>
    <w:rsid w:val="00217E32"/>
    <w:rsid w:val="002D4A0A"/>
    <w:rsid w:val="00316CC1"/>
    <w:rsid w:val="003724AD"/>
    <w:rsid w:val="003948E5"/>
    <w:rsid w:val="003B3DF4"/>
    <w:rsid w:val="003C1C7C"/>
    <w:rsid w:val="003C1DE2"/>
    <w:rsid w:val="003F4874"/>
    <w:rsid w:val="004027D3"/>
    <w:rsid w:val="00423D1F"/>
    <w:rsid w:val="00424B87"/>
    <w:rsid w:val="004A1BE9"/>
    <w:rsid w:val="004B3874"/>
    <w:rsid w:val="00541A2A"/>
    <w:rsid w:val="005526EC"/>
    <w:rsid w:val="005B4418"/>
    <w:rsid w:val="00616991"/>
    <w:rsid w:val="00640DD4"/>
    <w:rsid w:val="00673931"/>
    <w:rsid w:val="006C31DB"/>
    <w:rsid w:val="006D481B"/>
    <w:rsid w:val="00761878"/>
    <w:rsid w:val="007B1A42"/>
    <w:rsid w:val="00813984"/>
    <w:rsid w:val="00814370"/>
    <w:rsid w:val="00815FA9"/>
    <w:rsid w:val="0084268C"/>
    <w:rsid w:val="00844663"/>
    <w:rsid w:val="00854A12"/>
    <w:rsid w:val="008F32D6"/>
    <w:rsid w:val="00935F81"/>
    <w:rsid w:val="009423D0"/>
    <w:rsid w:val="00A10320"/>
    <w:rsid w:val="00A41959"/>
    <w:rsid w:val="00A47633"/>
    <w:rsid w:val="00AD58FB"/>
    <w:rsid w:val="00AF4AA3"/>
    <w:rsid w:val="00B41FCD"/>
    <w:rsid w:val="00B947EF"/>
    <w:rsid w:val="00C046C0"/>
    <w:rsid w:val="00C75A34"/>
    <w:rsid w:val="00CC4ACC"/>
    <w:rsid w:val="00CD647C"/>
    <w:rsid w:val="00D3638B"/>
    <w:rsid w:val="00DA71B8"/>
    <w:rsid w:val="00DB4C5C"/>
    <w:rsid w:val="00DE138A"/>
    <w:rsid w:val="00DE6614"/>
    <w:rsid w:val="00E44759"/>
    <w:rsid w:val="00E80A63"/>
    <w:rsid w:val="00EC476A"/>
    <w:rsid w:val="00F57732"/>
    <w:rsid w:val="00FD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6991"/>
    <w:pPr>
      <w:keepNext/>
      <w:widowControl w:val="0"/>
      <w:autoSpaceDE w:val="0"/>
      <w:autoSpaceDN w:val="0"/>
      <w:adjustRightInd w:val="0"/>
      <w:spacing w:line="280" w:lineRule="auto"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_"/>
    <w:basedOn w:val="a0"/>
    <w:link w:val="4"/>
    <w:rsid w:val="00316C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5"/>
    <w:rsid w:val="00316CC1"/>
    <w:pPr>
      <w:shd w:val="clear" w:color="auto" w:fill="FFFFFF"/>
      <w:spacing w:before="420" w:line="480" w:lineRule="exact"/>
      <w:jc w:val="both"/>
    </w:pPr>
    <w:rPr>
      <w:sz w:val="27"/>
      <w:szCs w:val="27"/>
      <w:lang w:eastAsia="en-US"/>
    </w:rPr>
  </w:style>
  <w:style w:type="paragraph" w:customStyle="1" w:styleId="Default">
    <w:name w:val="Default"/>
    <w:rsid w:val="007618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DE1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E13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69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616991"/>
    <w:rPr>
      <w:rFonts w:cs="Times New Roman"/>
      <w:color w:val="008000"/>
    </w:rPr>
  </w:style>
  <w:style w:type="character" w:styleId="a7">
    <w:name w:val="Hyperlink"/>
    <w:basedOn w:val="a0"/>
    <w:rsid w:val="00854A12"/>
    <w:rPr>
      <w:color w:val="0066CC"/>
      <w:u w:val="single"/>
    </w:rPr>
  </w:style>
  <w:style w:type="character" w:customStyle="1" w:styleId="Heading2Char">
    <w:name w:val="Heading 2 Char"/>
    <w:basedOn w:val="a0"/>
    <w:uiPriority w:val="9"/>
    <w:qFormat/>
    <w:rsid w:val="00FD62F1"/>
    <w:rPr>
      <w:rFonts w:ascii="Arial" w:eastAsia="Arial" w:hAnsi="Arial" w:cs="Arial"/>
      <w:sz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6991"/>
    <w:pPr>
      <w:keepNext/>
      <w:widowControl w:val="0"/>
      <w:autoSpaceDE w:val="0"/>
      <w:autoSpaceDN w:val="0"/>
      <w:adjustRightInd w:val="0"/>
      <w:spacing w:line="280" w:lineRule="auto"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_"/>
    <w:basedOn w:val="a0"/>
    <w:link w:val="4"/>
    <w:rsid w:val="00316C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5"/>
    <w:rsid w:val="00316CC1"/>
    <w:pPr>
      <w:shd w:val="clear" w:color="auto" w:fill="FFFFFF"/>
      <w:spacing w:before="420" w:line="480" w:lineRule="exact"/>
      <w:jc w:val="both"/>
    </w:pPr>
    <w:rPr>
      <w:sz w:val="27"/>
      <w:szCs w:val="27"/>
      <w:lang w:eastAsia="en-US"/>
    </w:rPr>
  </w:style>
  <w:style w:type="paragraph" w:customStyle="1" w:styleId="Default">
    <w:name w:val="Default"/>
    <w:rsid w:val="007618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DE1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E138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69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616991"/>
    <w:rPr>
      <w:rFonts w:cs="Times New Roman"/>
      <w:color w:val="008000"/>
    </w:rPr>
  </w:style>
  <w:style w:type="character" w:styleId="a7">
    <w:name w:val="Hyperlink"/>
    <w:basedOn w:val="a0"/>
    <w:rsid w:val="00854A12"/>
    <w:rPr>
      <w:color w:val="0066CC"/>
      <w:u w:val="single"/>
    </w:rPr>
  </w:style>
  <w:style w:type="character" w:customStyle="1" w:styleId="Heading2Char">
    <w:name w:val="Heading 2 Char"/>
    <w:basedOn w:val="a0"/>
    <w:uiPriority w:val="9"/>
    <w:qFormat/>
    <w:rsid w:val="00FD62F1"/>
    <w:rPr>
      <w:rFonts w:ascii="Arial" w:eastAsia="Arial" w:hAnsi="Arial" w:cs="Arial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СУХАНОВА Оксана Вениаминовна</cp:lastModifiedBy>
  <cp:revision>35</cp:revision>
  <cp:lastPrinted>2025-01-20T12:37:00Z</cp:lastPrinted>
  <dcterms:created xsi:type="dcterms:W3CDTF">2023-12-13T07:44:00Z</dcterms:created>
  <dcterms:modified xsi:type="dcterms:W3CDTF">2025-01-31T11:15:00Z</dcterms:modified>
</cp:coreProperties>
</file>